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17152" w14:textId="1099D8F0" w:rsidR="00C43133" w:rsidRPr="00707594" w:rsidRDefault="00C43133" w:rsidP="00C43133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0A19CD">
        <w:rPr>
          <w:b/>
          <w:noProof/>
          <w:sz w:val="24"/>
        </w:rPr>
        <w:t>4</w:t>
      </w:r>
      <w:r w:rsidR="00501F62">
        <w:rPr>
          <w:b/>
          <w:noProof/>
          <w:sz w:val="24"/>
        </w:rPr>
        <w:t>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501F62">
        <w:rPr>
          <w:b/>
          <w:noProof/>
          <w:sz w:val="24"/>
        </w:rPr>
        <w:tab/>
      </w:r>
      <w:r w:rsidR="00EC20B6" w:rsidRPr="00EC20B6">
        <w:rPr>
          <w:b/>
          <w:noProof/>
          <w:sz w:val="24"/>
        </w:rPr>
        <w:t>R4-2213234</w:t>
      </w:r>
    </w:p>
    <w:p w14:paraId="730545E8" w14:textId="41307803" w:rsidR="001F6272" w:rsidRPr="006B30DF" w:rsidRDefault="00501F62" w:rsidP="00C43133">
      <w:pPr>
        <w:pStyle w:val="CRCoverPage"/>
        <w:outlineLvl w:val="0"/>
        <w:rPr>
          <w:b/>
          <w:noProof/>
          <w:sz w:val="24"/>
          <w:lang w:val="en-US"/>
        </w:rPr>
      </w:pPr>
      <w:r w:rsidRPr="00C65EE2">
        <w:rPr>
          <w:b/>
          <w:noProof/>
          <w:sz w:val="24"/>
        </w:rPr>
        <w:t xml:space="preserve">Electronic Meeting, </w:t>
      </w:r>
      <w:r w:rsidR="000A19CD">
        <w:rPr>
          <w:b/>
          <w:noProof/>
          <w:sz w:val="24"/>
        </w:rPr>
        <w:t>15</w:t>
      </w:r>
      <w:r w:rsidR="000543E5" w:rsidRPr="000543E5">
        <w:rPr>
          <w:b/>
          <w:noProof/>
          <w:sz w:val="24"/>
          <w:vertAlign w:val="superscript"/>
        </w:rPr>
        <w:t>th</w:t>
      </w:r>
      <w:r w:rsidR="000543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Pr="00C65EE2">
        <w:rPr>
          <w:b/>
          <w:noProof/>
          <w:sz w:val="24"/>
        </w:rPr>
        <w:t>–</w:t>
      </w:r>
      <w:r w:rsidR="0049081B">
        <w:rPr>
          <w:b/>
          <w:noProof/>
          <w:sz w:val="24"/>
        </w:rPr>
        <w:t>2</w:t>
      </w:r>
      <w:r w:rsidR="000A19CD">
        <w:rPr>
          <w:b/>
          <w:noProof/>
          <w:sz w:val="24"/>
        </w:rPr>
        <w:t>6</w:t>
      </w:r>
      <w:r w:rsidR="0049081B" w:rsidRPr="0049081B">
        <w:rPr>
          <w:b/>
          <w:noProof/>
          <w:sz w:val="24"/>
          <w:vertAlign w:val="superscript"/>
        </w:rPr>
        <w:t>th</w:t>
      </w:r>
      <w:r w:rsidR="0049081B">
        <w:rPr>
          <w:b/>
          <w:noProof/>
          <w:sz w:val="24"/>
        </w:rPr>
        <w:t xml:space="preserve"> </w:t>
      </w:r>
      <w:r w:rsidR="000A19CD">
        <w:rPr>
          <w:b/>
          <w:noProof/>
          <w:sz w:val="24"/>
        </w:rPr>
        <w:t>Aug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77777777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 xml:space="preserve">IAB MT /DU </w:t>
      </w:r>
      <w:r w:rsidR="00185832">
        <w:rPr>
          <w:rFonts w:cs="Arial"/>
          <w:sz w:val="22"/>
          <w:szCs w:val="22"/>
          <w:lang w:val="en-US"/>
        </w:rPr>
        <w:t>C</w:t>
      </w:r>
      <w:r>
        <w:rPr>
          <w:rFonts w:cs="Arial"/>
          <w:sz w:val="22"/>
          <w:szCs w:val="22"/>
          <w:lang w:val="en-US"/>
        </w:rPr>
        <w:t>ase</w:t>
      </w:r>
      <w:r w:rsidR="00185832">
        <w:rPr>
          <w:rFonts w:cs="Arial"/>
          <w:sz w:val="22"/>
          <w:szCs w:val="22"/>
          <w:lang w:val="en-US"/>
        </w:rPr>
        <w:t>-</w:t>
      </w:r>
      <w:r>
        <w:rPr>
          <w:rFonts w:cs="Arial"/>
          <w:sz w:val="22"/>
          <w:szCs w:val="22"/>
          <w:lang w:val="en-US"/>
        </w:rPr>
        <w:t xml:space="preserve">6 timing </w:t>
      </w:r>
    </w:p>
    <w:p w14:paraId="51BD89B7" w14:textId="574C5F64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A9339B">
        <w:rPr>
          <w:rFonts w:cs="Arial"/>
          <w:sz w:val="22"/>
          <w:szCs w:val="22"/>
          <w:lang w:val="en-US"/>
        </w:rPr>
        <w:t>9.1</w:t>
      </w:r>
      <w:r w:rsidR="000A19CD">
        <w:rPr>
          <w:rFonts w:cs="Arial"/>
          <w:sz w:val="22"/>
          <w:szCs w:val="22"/>
          <w:lang w:val="en-US"/>
        </w:rPr>
        <w:t>5</w:t>
      </w:r>
      <w:r w:rsidR="00A9339B">
        <w:rPr>
          <w:rFonts w:cs="Arial"/>
          <w:sz w:val="22"/>
          <w:szCs w:val="22"/>
          <w:lang w:val="en-US"/>
        </w:rPr>
        <w:t>.</w:t>
      </w:r>
      <w:r w:rsidR="000A19CD">
        <w:rPr>
          <w:rFonts w:cs="Arial"/>
          <w:sz w:val="22"/>
          <w:szCs w:val="22"/>
          <w:lang w:val="en-US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1559F7A" w14:textId="7C243D04" w:rsidR="00C43133" w:rsidRDefault="001232A9" w:rsidP="00C43133">
      <w:pPr>
        <w:pStyle w:val="ListParagraph"/>
        <w:ind w:left="0"/>
        <w:rPr>
          <w:lang w:val="en-US"/>
        </w:rPr>
      </w:pPr>
      <w:r w:rsidRPr="00F102E6">
        <w:t xml:space="preserve">In </w:t>
      </w:r>
      <w:r w:rsidR="00BC7E0D">
        <w:t>TS 38.174</w:t>
      </w:r>
      <w:r w:rsidR="00C43133">
        <w:t xml:space="preserve">, the </w:t>
      </w:r>
      <w:r w:rsidR="00EF4E03">
        <w:t>Case-6</w:t>
      </w:r>
      <w:r w:rsidR="00C43133" w:rsidRPr="00C43133">
        <w:rPr>
          <w:lang w:val="en-US"/>
        </w:rPr>
        <w:t xml:space="preserve"> t</w:t>
      </w:r>
      <w:r w:rsidR="00C43133">
        <w:rPr>
          <w:lang w:val="en-US"/>
        </w:rPr>
        <w:t xml:space="preserve">iming </w:t>
      </w:r>
      <w:r w:rsidR="0049081B">
        <w:rPr>
          <w:lang w:val="en-US"/>
        </w:rPr>
        <w:t>requirement is specified below but with bracket</w:t>
      </w:r>
      <w:r w:rsidR="002070A3">
        <w:rPr>
          <w:lang w:val="en-US"/>
        </w:rPr>
        <w:t>:</w:t>
      </w:r>
    </w:p>
    <w:p w14:paraId="76206FC9" w14:textId="77777777" w:rsidR="00C827C3" w:rsidRDefault="00C827C3" w:rsidP="00C827C3">
      <w:pPr>
        <w:pStyle w:val="Heading3"/>
        <w:numPr>
          <w:ilvl w:val="0"/>
          <w:numId w:val="0"/>
        </w:numPr>
        <w:ind w:left="1145"/>
      </w:pPr>
      <w:bookmarkStart w:id="0" w:name="_Hlk95322738"/>
      <w:r>
        <w:rPr>
          <w:rFonts w:hint="eastAsia"/>
        </w:rPr>
        <w:t>6.5.</w:t>
      </w:r>
      <w:r>
        <w:t>X2</w:t>
      </w:r>
      <w:r w:rsidRPr="007E346D">
        <w:tab/>
      </w:r>
      <w:r>
        <w:t>Timing error between IAB-DU and IAB-MT</w:t>
      </w:r>
      <w:r w:rsidRPr="000E61F7">
        <w:t xml:space="preserve"> </w:t>
      </w:r>
      <w:r>
        <w:t>of the same IAB-Node</w:t>
      </w:r>
    </w:p>
    <w:p w14:paraId="556D76F1" w14:textId="77777777" w:rsidR="00C827C3" w:rsidRPr="00C24186" w:rsidRDefault="00C827C3" w:rsidP="00C827C3">
      <w:r>
        <w:t>When the indicated IAB-MT transmission timing mode is set to ‘Case6’ as specified in 3GPP TS 38.213 [10] and IAB-DU and IAB-MT of the same IAB-Node are transmitting simultaneously, the timing error between transmission timing of IAB-DU and IAB-MT shall not exceed [</w:t>
      </w:r>
      <w:r>
        <w:rPr>
          <w:rStyle w:val="normaltextrun"/>
          <w:color w:val="000000"/>
          <w:shd w:val="clear" w:color="auto" w:fill="FFFFFF"/>
        </w:rPr>
        <w:t>min (3, 4.69 / (SCS/15 kHz)) µs], where SCS is the largest supported subcarrier spacing among IAB-DU and IAB-MT.</w:t>
      </w:r>
    </w:p>
    <w:bookmarkEnd w:id="0"/>
    <w:p w14:paraId="43D57A75" w14:textId="7569C3DF" w:rsidR="001232A9" w:rsidRPr="00050E06" w:rsidRDefault="001232A9" w:rsidP="001232A9">
      <w:r w:rsidRPr="00050E06">
        <w:t xml:space="preserve">In this paper, we present our view on the </w:t>
      </w:r>
      <w:r w:rsidR="00C827C3">
        <w:t>TAE number of the requirement.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822CE34" w14:textId="5579B6E2" w:rsidR="00ED0742" w:rsidRDefault="005815E3" w:rsidP="008303A3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A good guess </w:t>
      </w:r>
      <w:r w:rsidR="009D5B30">
        <w:rPr>
          <w:rStyle w:val="normaltextrun"/>
          <w:color w:val="000000"/>
          <w:shd w:val="clear" w:color="auto" w:fill="FFFFFF"/>
        </w:rPr>
        <w:t>for 4.69 / (SCS/15 kHz)) in</w:t>
      </w:r>
      <w:r w:rsidR="00293D94">
        <w:t xml:space="preserve"> [</w:t>
      </w:r>
      <w:r w:rsidR="00293D94">
        <w:rPr>
          <w:rStyle w:val="normaltextrun"/>
          <w:color w:val="000000"/>
          <w:shd w:val="clear" w:color="auto" w:fill="FFFFFF"/>
        </w:rPr>
        <w:t xml:space="preserve">min (3, 4.69 / (SCS/15 kHz)) µs] </w:t>
      </w:r>
      <w:r>
        <w:rPr>
          <w:rStyle w:val="normaltextrun"/>
          <w:color w:val="000000"/>
          <w:shd w:val="clear" w:color="auto" w:fill="FFFFFF"/>
        </w:rPr>
        <w:t>is that it is to cope with the</w:t>
      </w:r>
      <w:r w:rsidR="00293D94">
        <w:rPr>
          <w:rStyle w:val="normaltextrun"/>
          <w:color w:val="000000"/>
          <w:shd w:val="clear" w:color="auto" w:fill="FFFFFF"/>
        </w:rPr>
        <w:t xml:space="preserve"> timing uncertainty for</w:t>
      </w:r>
      <w:r>
        <w:rPr>
          <w:rStyle w:val="normaltextrun"/>
          <w:color w:val="000000"/>
          <w:shd w:val="clear" w:color="auto" w:fill="FFFFFF"/>
        </w:rPr>
        <w:t xml:space="preserve"> different </w:t>
      </w:r>
      <w:r w:rsidR="00293D94">
        <w:rPr>
          <w:rStyle w:val="normaltextrun"/>
          <w:color w:val="000000"/>
          <w:shd w:val="clear" w:color="auto" w:fill="FFFFFF"/>
        </w:rPr>
        <w:t xml:space="preserve">Cp length of different </w:t>
      </w:r>
      <w:r w:rsidR="000A0C10">
        <w:rPr>
          <w:rStyle w:val="normaltextrun"/>
          <w:color w:val="000000"/>
          <w:shd w:val="clear" w:color="auto" w:fill="FFFFFF"/>
        </w:rPr>
        <w:t>SCS configu</w:t>
      </w:r>
      <w:r w:rsidR="00293D94">
        <w:rPr>
          <w:rStyle w:val="normaltextrun"/>
          <w:color w:val="000000"/>
          <w:shd w:val="clear" w:color="auto" w:fill="FFFFFF"/>
        </w:rPr>
        <w:t>red</w:t>
      </w:r>
      <w:r w:rsidR="000A0C10">
        <w:rPr>
          <w:rStyle w:val="normaltextrun"/>
          <w:color w:val="000000"/>
          <w:shd w:val="clear" w:color="auto" w:fill="FFFFFF"/>
        </w:rPr>
        <w:t xml:space="preserve"> at IAB-MT</w:t>
      </w:r>
      <w:r w:rsidR="009D5B30">
        <w:rPr>
          <w:rStyle w:val="normaltextrun"/>
          <w:color w:val="000000"/>
          <w:shd w:val="clear" w:color="auto" w:fill="FFFFFF"/>
        </w:rPr>
        <w:t xml:space="preserve">. However, </w:t>
      </w:r>
      <w:r w:rsidR="00057821">
        <w:rPr>
          <w:rStyle w:val="normaltextrun"/>
          <w:color w:val="000000"/>
          <w:shd w:val="clear" w:color="auto" w:fill="FFFFFF"/>
        </w:rPr>
        <w:t xml:space="preserve">the timing uncertainty </w:t>
      </w:r>
      <w:r w:rsidR="00886423">
        <w:rPr>
          <w:rStyle w:val="normaltextrun"/>
          <w:color w:val="000000"/>
          <w:shd w:val="clear" w:color="auto" w:fill="FFFFFF"/>
        </w:rPr>
        <w:t xml:space="preserve">at parent IAB receiver </w:t>
      </w:r>
      <w:r w:rsidR="00057821">
        <w:rPr>
          <w:rStyle w:val="normaltextrun"/>
          <w:color w:val="000000"/>
          <w:shd w:val="clear" w:color="auto" w:fill="FFFFFF"/>
        </w:rPr>
        <w:t>relates to both the TAE</w:t>
      </w:r>
      <w:r w:rsidR="00BF268D">
        <w:rPr>
          <w:rStyle w:val="normaltextrun"/>
          <w:color w:val="000000"/>
          <w:shd w:val="clear" w:color="auto" w:fill="FFFFFF"/>
        </w:rPr>
        <w:t>1</w:t>
      </w:r>
      <w:r w:rsidR="00057821">
        <w:rPr>
          <w:rStyle w:val="normaltextrun"/>
          <w:color w:val="000000"/>
          <w:shd w:val="clear" w:color="auto" w:fill="FFFFFF"/>
        </w:rPr>
        <w:t xml:space="preserve"> between parent IAB-DU node and child IAB-DU and the </w:t>
      </w:r>
      <w:r w:rsidR="00BF268D">
        <w:rPr>
          <w:rStyle w:val="normaltextrun"/>
          <w:color w:val="000000"/>
          <w:shd w:val="clear" w:color="auto" w:fill="FFFFFF"/>
        </w:rPr>
        <w:t xml:space="preserve">TAE2 between child IAB-MT and child IAB-DU. </w:t>
      </w:r>
      <w:r w:rsidR="001E29AB">
        <w:rPr>
          <w:rStyle w:val="normaltextrun"/>
          <w:color w:val="000000"/>
          <w:shd w:val="clear" w:color="auto" w:fill="FFFFFF"/>
        </w:rPr>
        <w:t>Such timing uncertainty is TAE2-TAE1</w:t>
      </w:r>
      <w:r w:rsidR="00994D7E">
        <w:rPr>
          <w:rStyle w:val="normaltextrun"/>
          <w:color w:val="000000"/>
          <w:shd w:val="clear" w:color="auto" w:fill="FFFFFF"/>
        </w:rPr>
        <w:t xml:space="preserve"> </w:t>
      </w:r>
      <w:r w:rsidR="002625FD">
        <w:rPr>
          <w:rStyle w:val="normaltextrun"/>
          <w:color w:val="000000"/>
          <w:shd w:val="clear" w:color="auto" w:fill="FFFFFF"/>
        </w:rPr>
        <w:t xml:space="preserve">as </w:t>
      </w:r>
      <w:r w:rsidR="00994D7E">
        <w:rPr>
          <w:rStyle w:val="normaltextrun"/>
          <w:color w:val="000000"/>
          <w:shd w:val="clear" w:color="auto" w:fill="FFFFFF"/>
        </w:rPr>
        <w:t>illustrated in Figure 1</w:t>
      </w:r>
      <w:r w:rsidR="001E29AB">
        <w:rPr>
          <w:rStyle w:val="normaltextrun"/>
          <w:color w:val="000000"/>
          <w:shd w:val="clear" w:color="auto" w:fill="FFFFFF"/>
        </w:rPr>
        <w:t xml:space="preserve">. </w:t>
      </w:r>
      <w:r w:rsidR="00994D7E">
        <w:rPr>
          <w:rStyle w:val="normaltextrun"/>
          <w:color w:val="000000"/>
          <w:shd w:val="clear" w:color="auto" w:fill="FFFFFF"/>
        </w:rPr>
        <w:t xml:space="preserve">Only reducing the TAE2 cannot help to reduce the total </w:t>
      </w:r>
      <w:r w:rsidR="00ED0742">
        <w:rPr>
          <w:rStyle w:val="normaltextrun"/>
          <w:color w:val="000000"/>
          <w:shd w:val="clear" w:color="auto" w:fill="FFFFFF"/>
        </w:rPr>
        <w:t>timing uncertainty</w:t>
      </w:r>
      <w:r w:rsidR="002625FD">
        <w:rPr>
          <w:rStyle w:val="normaltextrun"/>
          <w:color w:val="000000"/>
          <w:shd w:val="clear" w:color="auto" w:fill="FFFFFF"/>
        </w:rPr>
        <w:t xml:space="preserve"> </w:t>
      </w:r>
      <w:r w:rsidR="00A76A13">
        <w:rPr>
          <w:rStyle w:val="normaltextrun"/>
          <w:color w:val="000000"/>
          <w:shd w:val="clear" w:color="auto" w:fill="FFFFFF"/>
        </w:rPr>
        <w:t>at parent IAB-DU receiving</w:t>
      </w:r>
      <w:r w:rsidR="00F20123">
        <w:rPr>
          <w:rStyle w:val="normaltextrun"/>
          <w:color w:val="000000"/>
          <w:shd w:val="clear" w:color="auto" w:fill="FFFFFF"/>
        </w:rPr>
        <w:t xml:space="preserve"> as TAE1 still contribute to 3 us.</w:t>
      </w:r>
    </w:p>
    <w:p w14:paraId="08A85CBB" w14:textId="1DD51E01" w:rsidR="00ED0742" w:rsidRDefault="00886423" w:rsidP="00ED0742">
      <w:pPr>
        <w:pStyle w:val="Observation"/>
        <w:rPr>
          <w:shd w:val="clear" w:color="auto" w:fill="FFFFFF"/>
        </w:rPr>
      </w:pPr>
      <w:bookmarkStart w:id="1" w:name="_Ref99369854"/>
      <w:r>
        <w:rPr>
          <w:shd w:val="clear" w:color="auto" w:fill="FFFFFF"/>
        </w:rPr>
        <w:t>R</w:t>
      </w:r>
      <w:r w:rsidR="007F4750">
        <w:rPr>
          <w:shd w:val="clear" w:color="auto" w:fill="FFFFFF"/>
        </w:rPr>
        <w:t xml:space="preserve">educing the TAE2 to </w:t>
      </w:r>
      <w:r w:rsidR="007F4750">
        <w:rPr>
          <w:rStyle w:val="normaltextrun"/>
          <w:color w:val="000000"/>
          <w:shd w:val="clear" w:color="auto" w:fill="FFFFFF"/>
        </w:rPr>
        <w:t>4.69 / (SCS/15 kHz)) µs</w:t>
      </w:r>
      <w:r w:rsidR="007F4750">
        <w:rPr>
          <w:shd w:val="clear" w:color="auto" w:fill="FFFFFF"/>
        </w:rPr>
        <w:t xml:space="preserve"> between </w:t>
      </w:r>
      <w:r w:rsidR="00D66EBB">
        <w:rPr>
          <w:shd w:val="clear" w:color="auto" w:fill="FFFFFF"/>
        </w:rPr>
        <w:t xml:space="preserve">IAB-MT and IAB-DU can not </w:t>
      </w:r>
      <w:r w:rsidR="00F20123">
        <w:rPr>
          <w:shd w:val="clear" w:color="auto" w:fill="FFFFFF"/>
        </w:rPr>
        <w:t xml:space="preserve">reduce total </w:t>
      </w:r>
      <w:r w:rsidR="00D66EBB">
        <w:rPr>
          <w:shd w:val="clear" w:color="auto" w:fill="FFFFFF"/>
        </w:rPr>
        <w:t xml:space="preserve">timing uncertainty </w:t>
      </w:r>
      <w:r w:rsidR="00F20123">
        <w:rPr>
          <w:shd w:val="clear" w:color="auto" w:fill="FFFFFF"/>
        </w:rPr>
        <w:t>at receiver of the parent IAB node.</w:t>
      </w:r>
      <w:bookmarkEnd w:id="1"/>
    </w:p>
    <w:p w14:paraId="6025D583" w14:textId="61FF5099" w:rsidR="002E35FD" w:rsidRPr="002E35FD" w:rsidRDefault="002E35FD" w:rsidP="00F20123">
      <w:pPr>
        <w:pStyle w:val="Observation"/>
        <w:numPr>
          <w:ilvl w:val="0"/>
          <w:numId w:val="0"/>
        </w:numPr>
        <w:rPr>
          <w:b w:val="0"/>
          <w:bCs w:val="0"/>
          <w:shd w:val="clear" w:color="auto" w:fill="FFFFFF"/>
        </w:rPr>
      </w:pPr>
      <w:r>
        <w:rPr>
          <w:b w:val="0"/>
          <w:bCs w:val="0"/>
          <w:shd w:val="clear" w:color="auto" w:fill="FFFFFF"/>
        </w:rPr>
        <w:t>The TAE between the signal</w:t>
      </w:r>
      <w:r w:rsidR="002E6444">
        <w:rPr>
          <w:b w:val="0"/>
          <w:bCs w:val="0"/>
          <w:shd w:val="clear" w:color="auto" w:fill="FFFFFF"/>
        </w:rPr>
        <w:t xml:space="preserve"> of IAB-MT and IAB-DU </w:t>
      </w:r>
      <w:r>
        <w:rPr>
          <w:b w:val="0"/>
          <w:bCs w:val="0"/>
          <w:shd w:val="clear" w:color="auto" w:fill="FFFFFF"/>
        </w:rPr>
        <w:t>is RF requirement and such requirement impact</w:t>
      </w:r>
      <w:r w:rsidR="00886423">
        <w:rPr>
          <w:b w:val="0"/>
          <w:bCs w:val="0"/>
          <w:shd w:val="clear" w:color="auto" w:fill="FFFFFF"/>
        </w:rPr>
        <w:t>s</w:t>
      </w:r>
      <w:r>
        <w:rPr>
          <w:b w:val="0"/>
          <w:bCs w:val="0"/>
          <w:shd w:val="clear" w:color="auto" w:fill="FFFFFF"/>
        </w:rPr>
        <w:t xml:space="preserve"> the </w:t>
      </w:r>
      <w:r w:rsidR="00886423">
        <w:rPr>
          <w:b w:val="0"/>
          <w:bCs w:val="0"/>
          <w:shd w:val="clear" w:color="auto" w:fill="FFFFFF"/>
        </w:rPr>
        <w:t xml:space="preserve">deployment topology of </w:t>
      </w:r>
      <w:r w:rsidR="003F60A5">
        <w:rPr>
          <w:b w:val="0"/>
          <w:bCs w:val="0"/>
          <w:shd w:val="clear" w:color="auto" w:fill="FFFFFF"/>
        </w:rPr>
        <w:t>the IAB-DU and IAB-MT in relation to the sync source as shown in Figure 2.</w:t>
      </w:r>
      <w:r w:rsidR="00131304">
        <w:rPr>
          <w:b w:val="0"/>
          <w:bCs w:val="0"/>
          <w:shd w:val="clear" w:color="auto" w:fill="FFFFFF"/>
        </w:rPr>
        <w:t xml:space="preserve"> T</w:t>
      </w:r>
      <w:r w:rsidR="00B21AAE">
        <w:rPr>
          <w:b w:val="0"/>
          <w:bCs w:val="0"/>
          <w:shd w:val="clear" w:color="auto" w:fill="FFFFFF"/>
        </w:rPr>
        <w:t xml:space="preserve">he TAE is </w:t>
      </w:r>
      <w:r w:rsidR="00090C34">
        <w:rPr>
          <w:b w:val="0"/>
          <w:bCs w:val="0"/>
          <w:shd w:val="clear" w:color="auto" w:fill="FFFFFF"/>
        </w:rPr>
        <w:t xml:space="preserve">designed to meet the respective requirement by compensating the delay parameter that the RF signal </w:t>
      </w:r>
      <w:r w:rsidR="009F7D41">
        <w:rPr>
          <w:b w:val="0"/>
          <w:bCs w:val="0"/>
          <w:shd w:val="clear" w:color="auto" w:fill="FFFFFF"/>
        </w:rPr>
        <w:t xml:space="preserve">is </w:t>
      </w:r>
      <w:r w:rsidR="004E77E3">
        <w:rPr>
          <w:b w:val="0"/>
          <w:bCs w:val="0"/>
          <w:shd w:val="clear" w:color="auto" w:fill="FFFFFF"/>
        </w:rPr>
        <w:t xml:space="preserve">passing through, e.g the RF component of the filter, </w:t>
      </w:r>
      <w:r w:rsidR="009B3F65">
        <w:rPr>
          <w:b w:val="0"/>
          <w:bCs w:val="0"/>
          <w:shd w:val="clear" w:color="auto" w:fill="FFFFFF"/>
        </w:rPr>
        <w:t xml:space="preserve">PA, </w:t>
      </w:r>
      <w:proofErr w:type="gramStart"/>
      <w:r w:rsidR="009B3F65">
        <w:rPr>
          <w:b w:val="0"/>
          <w:bCs w:val="0"/>
          <w:shd w:val="clear" w:color="auto" w:fill="FFFFFF"/>
        </w:rPr>
        <w:t>mixer</w:t>
      </w:r>
      <w:proofErr w:type="gramEnd"/>
      <w:r w:rsidR="009B3F65">
        <w:rPr>
          <w:b w:val="0"/>
          <w:bCs w:val="0"/>
          <w:shd w:val="clear" w:color="auto" w:fill="FFFFFF"/>
        </w:rPr>
        <w:t xml:space="preserve"> or feeder cable. There </w:t>
      </w:r>
      <w:r w:rsidR="00135A85">
        <w:rPr>
          <w:b w:val="0"/>
          <w:bCs w:val="0"/>
          <w:shd w:val="clear" w:color="auto" w:fill="FFFFFF"/>
        </w:rPr>
        <w:t>is</w:t>
      </w:r>
      <w:r w:rsidR="009B3F65">
        <w:rPr>
          <w:b w:val="0"/>
          <w:bCs w:val="0"/>
          <w:shd w:val="clear" w:color="auto" w:fill="FFFFFF"/>
        </w:rPr>
        <w:t xml:space="preserve"> timing uncertainty associated to the delay measurement of RF component </w:t>
      </w:r>
      <w:r w:rsidR="00AF0315">
        <w:rPr>
          <w:b w:val="0"/>
          <w:bCs w:val="0"/>
          <w:shd w:val="clear" w:color="auto" w:fill="FFFFFF"/>
        </w:rPr>
        <w:t xml:space="preserve">and </w:t>
      </w:r>
      <w:r w:rsidR="00ED02F7">
        <w:rPr>
          <w:b w:val="0"/>
          <w:bCs w:val="0"/>
          <w:shd w:val="clear" w:color="auto" w:fill="FFFFFF"/>
        </w:rPr>
        <w:t xml:space="preserve">as such </w:t>
      </w:r>
      <w:r w:rsidR="00AF0315">
        <w:rPr>
          <w:b w:val="0"/>
          <w:bCs w:val="0"/>
          <w:shd w:val="clear" w:color="auto" w:fill="FFFFFF"/>
        </w:rPr>
        <w:t xml:space="preserve">this timing uncertainty will </w:t>
      </w:r>
      <w:r w:rsidR="00ED02F7">
        <w:rPr>
          <w:b w:val="0"/>
          <w:bCs w:val="0"/>
          <w:shd w:val="clear" w:color="auto" w:fill="FFFFFF"/>
        </w:rPr>
        <w:t>limit the implementation options</w:t>
      </w:r>
      <w:r w:rsidR="00135A85">
        <w:rPr>
          <w:b w:val="0"/>
          <w:bCs w:val="0"/>
          <w:shd w:val="clear" w:color="auto" w:fill="FFFFFF"/>
        </w:rPr>
        <w:t xml:space="preserve">. </w:t>
      </w:r>
      <w:r w:rsidR="008E36BE">
        <w:rPr>
          <w:b w:val="0"/>
          <w:bCs w:val="0"/>
          <w:shd w:val="clear" w:color="auto" w:fill="FFFFFF"/>
        </w:rPr>
        <w:t xml:space="preserve">However, there is no “configurable” part </w:t>
      </w:r>
      <w:r w:rsidR="0058186B">
        <w:rPr>
          <w:b w:val="0"/>
          <w:bCs w:val="0"/>
          <w:shd w:val="clear" w:color="auto" w:fill="FFFFFF"/>
        </w:rPr>
        <w:t xml:space="preserve">in the timing compensation </w:t>
      </w:r>
      <w:r w:rsidR="008E36BE">
        <w:rPr>
          <w:b w:val="0"/>
          <w:bCs w:val="0"/>
          <w:shd w:val="clear" w:color="auto" w:fill="FFFFFF"/>
        </w:rPr>
        <w:t xml:space="preserve">to reduce </w:t>
      </w:r>
      <w:r w:rsidR="0058186B">
        <w:rPr>
          <w:b w:val="0"/>
          <w:bCs w:val="0"/>
          <w:shd w:val="clear" w:color="auto" w:fill="FFFFFF"/>
        </w:rPr>
        <w:t xml:space="preserve">the TAE </w:t>
      </w:r>
      <w:r w:rsidR="00F32082">
        <w:rPr>
          <w:b w:val="0"/>
          <w:bCs w:val="0"/>
          <w:shd w:val="clear" w:color="auto" w:fill="FFFFFF"/>
        </w:rPr>
        <w:t xml:space="preserve">and as such the design should meet the minimum of the TAE </w:t>
      </w:r>
      <w:r w:rsidR="003109B0">
        <w:rPr>
          <w:b w:val="0"/>
          <w:bCs w:val="0"/>
          <w:shd w:val="clear" w:color="auto" w:fill="FFFFFF"/>
        </w:rPr>
        <w:t xml:space="preserve">in the requirement </w:t>
      </w:r>
      <w:r w:rsidR="0072419F">
        <w:rPr>
          <w:b w:val="0"/>
          <w:bCs w:val="0"/>
          <w:shd w:val="clear" w:color="auto" w:fill="FFFFFF"/>
        </w:rPr>
        <w:t xml:space="preserve">of </w:t>
      </w:r>
      <w:r w:rsidR="0072419F" w:rsidRPr="003109B0">
        <w:rPr>
          <w:b w:val="0"/>
          <w:bCs w:val="0"/>
        </w:rPr>
        <w:t>[</w:t>
      </w:r>
      <w:r w:rsidR="0072419F" w:rsidRPr="003109B0">
        <w:rPr>
          <w:rStyle w:val="normaltextrun"/>
          <w:b w:val="0"/>
          <w:bCs w:val="0"/>
          <w:color w:val="000000"/>
          <w:shd w:val="clear" w:color="auto" w:fill="FFFFFF"/>
        </w:rPr>
        <w:t>min (3, 4.69 / (SCS/15 kHz)) µs]</w:t>
      </w:r>
      <w:r w:rsidR="0072419F">
        <w:rPr>
          <w:b w:val="0"/>
          <w:bCs w:val="0"/>
          <w:shd w:val="clear" w:color="auto" w:fill="FFFFFF"/>
        </w:rPr>
        <w:t>.</w:t>
      </w:r>
      <w:r w:rsidR="003109B0">
        <w:rPr>
          <w:b w:val="0"/>
          <w:bCs w:val="0"/>
          <w:shd w:val="clear" w:color="auto" w:fill="FFFFFF"/>
        </w:rPr>
        <w:t xml:space="preserve"> </w:t>
      </w:r>
    </w:p>
    <w:p w14:paraId="359ED58D" w14:textId="600BCA70" w:rsidR="00686DCA" w:rsidRDefault="00CF7D09" w:rsidP="00686DCA">
      <w:pPr>
        <w:pStyle w:val="Observation"/>
        <w:rPr>
          <w:shd w:val="clear" w:color="auto" w:fill="FFFFFF"/>
        </w:rPr>
      </w:pPr>
      <w:bookmarkStart w:id="2" w:name="_Ref99369868"/>
      <w:r>
        <w:rPr>
          <w:shd w:val="clear" w:color="auto" w:fill="FFFFFF"/>
        </w:rPr>
        <w:t xml:space="preserve">TAE </w:t>
      </w:r>
      <w:r w:rsidR="008655F4">
        <w:rPr>
          <w:shd w:val="clear" w:color="auto" w:fill="FFFFFF"/>
        </w:rPr>
        <w:t xml:space="preserve">is RF requirement, and its </w:t>
      </w:r>
      <w:r>
        <w:rPr>
          <w:shd w:val="clear" w:color="auto" w:fill="FFFFFF"/>
        </w:rPr>
        <w:t>performance is not scalable in implementation.</w:t>
      </w:r>
      <w:bookmarkEnd w:id="2"/>
      <w:r>
        <w:rPr>
          <w:shd w:val="clear" w:color="auto" w:fill="FFFFFF"/>
        </w:rPr>
        <w:t xml:space="preserve"> </w:t>
      </w:r>
    </w:p>
    <w:p w14:paraId="4245B77C" w14:textId="241027F6" w:rsidR="00E171E3" w:rsidRDefault="00E171E3" w:rsidP="008E7E80">
      <w:pPr>
        <w:pStyle w:val="ListParagraph"/>
        <w:spacing w:after="0" w:line="256" w:lineRule="auto"/>
        <w:ind w:left="0"/>
        <w:contextualSpacing/>
        <w:textAlignment w:val="baseline"/>
        <w:rPr>
          <w:lang w:eastAsia="zh-CN"/>
        </w:rPr>
      </w:pPr>
    </w:p>
    <w:p w14:paraId="1AD9DCD0" w14:textId="5165D5C3" w:rsidR="000C20BB" w:rsidRDefault="000C20BB" w:rsidP="008E7E80">
      <w:pPr>
        <w:pStyle w:val="ListParagraph"/>
        <w:spacing w:after="0" w:line="256" w:lineRule="auto"/>
        <w:ind w:left="0"/>
        <w:contextualSpacing/>
        <w:textAlignment w:val="baseline"/>
        <w:rPr>
          <w:rStyle w:val="normaltextrun"/>
          <w:color w:val="000000"/>
          <w:shd w:val="clear" w:color="auto" w:fill="FFFFFF"/>
        </w:rPr>
      </w:pPr>
      <w:r>
        <w:rPr>
          <w:lang w:eastAsia="zh-CN"/>
        </w:rPr>
        <w:t xml:space="preserve">As there is no intention to tighten the IAB-DU cell phase </w:t>
      </w:r>
      <w:r w:rsidR="00C76C9F">
        <w:rPr>
          <w:lang w:eastAsia="zh-CN"/>
        </w:rPr>
        <w:t xml:space="preserve">sync requirement in RAN4 and thus </w:t>
      </w:r>
      <w:r w:rsidR="00EC5713">
        <w:rPr>
          <w:lang w:eastAsia="zh-CN"/>
        </w:rPr>
        <w:t xml:space="preserve">timing uncertainty at parent IAB-DU receiver cannot be reduced to cope </w:t>
      </w:r>
      <w:r w:rsidR="00EF5F3B">
        <w:rPr>
          <w:lang w:eastAsia="zh-CN"/>
        </w:rPr>
        <w:t xml:space="preserve">with </w:t>
      </w:r>
      <w:r w:rsidR="007E49F3">
        <w:rPr>
          <w:lang w:eastAsia="zh-CN"/>
        </w:rPr>
        <w:t xml:space="preserve">smaller Cyclic prefix of higher SCS. </w:t>
      </w:r>
      <w:r w:rsidR="009C4855">
        <w:rPr>
          <w:lang w:eastAsia="zh-CN"/>
        </w:rPr>
        <w:t xml:space="preserve">Therefore, we think it is reasonable to remove the </w:t>
      </w:r>
      <w:r w:rsidR="009C4855">
        <w:rPr>
          <w:rStyle w:val="normaltextrun"/>
          <w:color w:val="000000"/>
          <w:shd w:val="clear" w:color="auto" w:fill="FFFFFF"/>
        </w:rPr>
        <w:t xml:space="preserve">4.69 / (SCS/15 kHz)) µs in the bracket and keep the 3 us </w:t>
      </w:r>
      <w:r w:rsidR="00CF1FDD">
        <w:rPr>
          <w:rStyle w:val="normaltextrun"/>
          <w:color w:val="000000"/>
          <w:shd w:val="clear" w:color="auto" w:fill="FFFFFF"/>
        </w:rPr>
        <w:t xml:space="preserve">only. </w:t>
      </w:r>
      <w:r w:rsidR="00EF5F3B">
        <w:rPr>
          <w:rStyle w:val="normaltextrun"/>
          <w:color w:val="000000"/>
          <w:shd w:val="clear" w:color="auto" w:fill="FFFFFF"/>
        </w:rPr>
        <w:t>This also means the different implementation option is Figure 2 still be possible.</w:t>
      </w:r>
    </w:p>
    <w:p w14:paraId="00D25F1C" w14:textId="21976C06" w:rsidR="00CF1FDD" w:rsidRDefault="00CF1FDD" w:rsidP="008E7E80">
      <w:pPr>
        <w:pStyle w:val="ListParagraph"/>
        <w:spacing w:after="0" w:line="256" w:lineRule="auto"/>
        <w:ind w:left="0"/>
        <w:contextualSpacing/>
        <w:textAlignment w:val="baseline"/>
        <w:rPr>
          <w:rStyle w:val="normaltextrun"/>
          <w:color w:val="000000"/>
          <w:shd w:val="clear" w:color="auto" w:fill="FFFFFF"/>
        </w:rPr>
      </w:pPr>
    </w:p>
    <w:p w14:paraId="280D969C" w14:textId="62C7DF2A" w:rsidR="00CF1FDD" w:rsidRDefault="000E5643" w:rsidP="00CF1FDD">
      <w:pPr>
        <w:pStyle w:val="Proposal"/>
      </w:pPr>
      <w:bookmarkStart w:id="3" w:name="_Ref99369886"/>
      <w:r>
        <w:t>Specify TAE between IAB-MT and IAB-DU with 3us only.</w:t>
      </w:r>
      <w:bookmarkEnd w:id="3"/>
    </w:p>
    <w:p w14:paraId="28C94792" w14:textId="23317117" w:rsidR="000E5643" w:rsidRPr="00C24186" w:rsidRDefault="000E5643" w:rsidP="000E5643">
      <w:pPr>
        <w:pStyle w:val="Proposal"/>
        <w:numPr>
          <w:ilvl w:val="0"/>
          <w:numId w:val="0"/>
        </w:numPr>
        <w:ind w:left="360"/>
      </w:pPr>
    </w:p>
    <w:p w14:paraId="4917D428" w14:textId="4A34A002" w:rsidR="00CF1FDD" w:rsidRDefault="00CF1FDD" w:rsidP="00CF1FDD">
      <w:pPr>
        <w:pStyle w:val="Proposal"/>
        <w:numPr>
          <w:ilvl w:val="0"/>
          <w:numId w:val="0"/>
        </w:numPr>
        <w:ind w:left="360"/>
        <w:rPr>
          <w:lang w:eastAsia="zh-CN"/>
        </w:rPr>
      </w:pPr>
    </w:p>
    <w:p w14:paraId="45BE3A16" w14:textId="7FCF9D19" w:rsidR="008E7E80" w:rsidRDefault="00085BCA" w:rsidP="008E7E80">
      <w:pPr>
        <w:pStyle w:val="ListParagraph"/>
        <w:spacing w:after="0" w:line="256" w:lineRule="auto"/>
        <w:ind w:left="0"/>
        <w:contextualSpacing/>
        <w:textAlignment w:val="baseline"/>
        <w:rPr>
          <w:rFonts w:cs="Times"/>
          <w:b/>
          <w:bCs/>
        </w:rPr>
      </w:pPr>
      <w:r>
        <w:object w:dxaOrig="6492" w:dyaOrig="8004" w14:anchorId="36C45F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3pt;height:296.85pt" o:ole="">
            <v:imagedata r:id="rId11" o:title=""/>
          </v:shape>
          <o:OLEObject Type="Embed" ProgID="Visio.Drawing.15" ShapeID="_x0000_i1025" DrawAspect="Content" ObjectID="_1721652268" r:id="rId12"/>
        </w:object>
      </w:r>
    </w:p>
    <w:p w14:paraId="2932E1BC" w14:textId="0F78F153" w:rsidR="00E171E3" w:rsidRDefault="00C27521" w:rsidP="00117F2A">
      <w:r>
        <w:t>Figure 1: Parent IAB receiver timing and relation to the child IAB-MT and IAB-DU</w:t>
      </w:r>
      <w:r w:rsidR="008303A3">
        <w:t xml:space="preserve"> timing in case#6 timing mode</w:t>
      </w:r>
      <w:r>
        <w:t xml:space="preserve"> </w:t>
      </w:r>
    </w:p>
    <w:p w14:paraId="2DCEAB62" w14:textId="77777777" w:rsidR="0060780B" w:rsidRDefault="0060780B" w:rsidP="00117F2A"/>
    <w:p w14:paraId="54DC2AB1" w14:textId="0AC1CF98" w:rsidR="00E171E3" w:rsidRDefault="00E171E3" w:rsidP="00117F2A">
      <w:r>
        <w:rPr>
          <w:rFonts w:ascii="Ericsson Hilda" w:hAnsi="Ericsson Hilda"/>
          <w:noProof/>
          <w:lang w:val="en-US"/>
        </w:rPr>
        <w:drawing>
          <wp:inline distT="0" distB="0" distL="0" distR="0" wp14:anchorId="65688D95" wp14:editId="0C4694A9">
            <wp:extent cx="6264275" cy="285940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85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5B689" w14:textId="1E0EB2D0" w:rsidR="00E171E3" w:rsidRDefault="00E171E3" w:rsidP="00D05891">
      <w:pPr>
        <w:pStyle w:val="Caption"/>
        <w:ind w:firstLine="360"/>
      </w:pPr>
      <w:bookmarkStart w:id="4" w:name="_Ref95214946"/>
      <w:r>
        <w:t xml:space="preserve">Figure </w:t>
      </w:r>
      <w:bookmarkEnd w:id="4"/>
      <w:r w:rsidR="003F60A5">
        <w:t>2</w:t>
      </w:r>
      <w:r>
        <w:t>: IAB</w:t>
      </w:r>
      <w:r w:rsidR="0011179D">
        <w:t xml:space="preserve">-MT and IAB-DU implementation </w:t>
      </w:r>
      <w:r w:rsidR="008452AC">
        <w:t xml:space="preserve">options </w:t>
      </w:r>
      <w:r w:rsidR="0011179D">
        <w:t>with certain TAE</w:t>
      </w: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0A828CD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current TAE requirement </w:t>
      </w:r>
      <w:r w:rsidR="00760997" w:rsidRPr="00F102E6">
        <w:t>with below proposal:</w:t>
      </w:r>
    </w:p>
    <w:p w14:paraId="0E04AC6A" w14:textId="0CED9D61" w:rsidR="00D05891" w:rsidRDefault="000E5643" w:rsidP="009F5C86">
      <w:r>
        <w:fldChar w:fldCharType="begin"/>
      </w:r>
      <w:r>
        <w:instrText xml:space="preserve"> REF _Ref99369854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_Ref99369854 \h </w:instrText>
      </w:r>
      <w:r>
        <w:fldChar w:fldCharType="separate"/>
      </w:r>
      <w:r>
        <w:rPr>
          <w:shd w:val="clear" w:color="auto" w:fill="FFFFFF"/>
        </w:rPr>
        <w:t xml:space="preserve">Only reducing the TAE2 to </w:t>
      </w:r>
      <w:r>
        <w:rPr>
          <w:rStyle w:val="normaltextrun"/>
          <w:color w:val="000000"/>
          <w:shd w:val="clear" w:color="auto" w:fill="FFFFFF"/>
        </w:rPr>
        <w:t>4.69 / (SCS/15 kHz)) µs</w:t>
      </w:r>
      <w:r>
        <w:rPr>
          <w:shd w:val="clear" w:color="auto" w:fill="FFFFFF"/>
        </w:rPr>
        <w:t xml:space="preserve"> between IAB-MT and IAB-DU can not reduce total timing uncertainty at receiver of the parent IAB node.</w:t>
      </w:r>
      <w:r>
        <w:fldChar w:fldCharType="end"/>
      </w:r>
    </w:p>
    <w:p w14:paraId="12BB456B" w14:textId="2A99A761" w:rsidR="000E5643" w:rsidRDefault="000E5643" w:rsidP="009F5C86">
      <w:r>
        <w:fldChar w:fldCharType="begin"/>
      </w:r>
      <w:r>
        <w:instrText xml:space="preserve"> REF _Ref99369868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_Ref99369868 \h </w:instrText>
      </w:r>
      <w:r>
        <w:fldChar w:fldCharType="separate"/>
      </w:r>
      <w:r>
        <w:rPr>
          <w:shd w:val="clear" w:color="auto" w:fill="FFFFFF"/>
        </w:rPr>
        <w:t>TAE is RF requirement, and its performance is not scalable in implementation.</w:t>
      </w:r>
      <w:r>
        <w:fldChar w:fldCharType="end"/>
      </w:r>
    </w:p>
    <w:p w14:paraId="63B6F2F4" w14:textId="72BCD734" w:rsidR="000E5643" w:rsidRDefault="000E5643" w:rsidP="009F5C86">
      <w:r>
        <w:lastRenderedPageBreak/>
        <w:fldChar w:fldCharType="begin"/>
      </w:r>
      <w:r>
        <w:instrText xml:space="preserve"> REF _Ref99369886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_Ref99369886 \h </w:instrText>
      </w:r>
      <w:r>
        <w:fldChar w:fldCharType="separate"/>
      </w:r>
      <w:r>
        <w:t>Specify TAE between IAB-MT and IAB-DU with 3us only.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020A1D4F" w:rsidR="00210ACF" w:rsidRPr="00F102E6" w:rsidRDefault="00AD61CD" w:rsidP="00F102E6">
      <w:pPr>
        <w:numPr>
          <w:ilvl w:val="0"/>
          <w:numId w:val="9"/>
        </w:numPr>
      </w:pPr>
      <w:r w:rsidRPr="00AD61CD">
        <w:rPr>
          <w:lang w:eastAsia="ja-JP"/>
        </w:rPr>
        <w:t>R4-2204583</w:t>
      </w:r>
      <w:r>
        <w:rPr>
          <w:lang w:eastAsia="ja-JP"/>
        </w:rPr>
        <w:t xml:space="preserve">, </w:t>
      </w:r>
      <w:r w:rsidRPr="00AD61CD">
        <w:rPr>
          <w:lang w:eastAsia="ja-JP"/>
        </w:rPr>
        <w:t>Big CR to TS38.174 for Rel-17 IAB enhancement</w:t>
      </w:r>
      <w:r>
        <w:rPr>
          <w:lang w:eastAsia="ja-JP"/>
        </w:rPr>
        <w:t xml:space="preserve">, </w:t>
      </w:r>
      <w:r w:rsidR="006B58D9" w:rsidRPr="006B58D9">
        <w:rPr>
          <w:lang w:eastAsia="ja-JP"/>
        </w:rPr>
        <w:t>Samsung</w:t>
      </w:r>
    </w:p>
    <w:sectPr w:rsidR="00210ACF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2E88E" w14:textId="77777777" w:rsidR="0014104D" w:rsidRDefault="0014104D">
      <w:r>
        <w:separator/>
      </w:r>
    </w:p>
  </w:endnote>
  <w:endnote w:type="continuationSeparator" w:id="0">
    <w:p w14:paraId="6F3D802B" w14:textId="77777777" w:rsidR="0014104D" w:rsidRDefault="0014104D">
      <w:r>
        <w:continuationSeparator/>
      </w:r>
    </w:p>
  </w:endnote>
  <w:endnote w:type="continuationNotice" w:id="1">
    <w:p w14:paraId="0F1A4807" w14:textId="77777777" w:rsidR="0014104D" w:rsidRDefault="001410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¡§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50971" w14:textId="77777777" w:rsidR="0014104D" w:rsidRDefault="0014104D">
      <w:r>
        <w:separator/>
      </w:r>
    </w:p>
  </w:footnote>
  <w:footnote w:type="continuationSeparator" w:id="0">
    <w:p w14:paraId="3DA52654" w14:textId="77777777" w:rsidR="0014104D" w:rsidRDefault="0014104D">
      <w:r>
        <w:continuationSeparator/>
      </w:r>
    </w:p>
  </w:footnote>
  <w:footnote w:type="continuationNotice" w:id="1">
    <w:p w14:paraId="686BD252" w14:textId="77777777" w:rsidR="0014104D" w:rsidRDefault="001410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31E1"/>
    <w:multiLevelType w:val="hybridMultilevel"/>
    <w:tmpl w:val="D6D2F59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73434"/>
    <w:multiLevelType w:val="multilevel"/>
    <w:tmpl w:val="12B734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913B00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44138"/>
    <w:multiLevelType w:val="hybridMultilevel"/>
    <w:tmpl w:val="17AA36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E5C0F"/>
    <w:multiLevelType w:val="hybridMultilevel"/>
    <w:tmpl w:val="FADA33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8AF02FF"/>
    <w:multiLevelType w:val="hybridMultilevel"/>
    <w:tmpl w:val="2528DBA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ED01312"/>
    <w:multiLevelType w:val="hybridMultilevel"/>
    <w:tmpl w:val="79AAD3E0"/>
    <w:lvl w:ilvl="0" w:tplc="B7BE6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CACC4">
      <w:start w:val="2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8C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0F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4E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C9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1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FEE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D63B6E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D91D35"/>
    <w:multiLevelType w:val="hybridMultilevel"/>
    <w:tmpl w:val="E25C7A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D53E0E"/>
    <w:multiLevelType w:val="hybridMultilevel"/>
    <w:tmpl w:val="9CE20364"/>
    <w:lvl w:ilvl="0" w:tplc="7996E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10F3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A8B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7CF0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C43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6259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766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AAE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840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1150EB8"/>
    <w:multiLevelType w:val="hybridMultilevel"/>
    <w:tmpl w:val="A7526B30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270E2"/>
    <w:multiLevelType w:val="multilevel"/>
    <w:tmpl w:val="7D1270E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012492"/>
    <w:multiLevelType w:val="hybridMultilevel"/>
    <w:tmpl w:val="B38C77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5"/>
  </w:num>
  <w:num w:numId="4">
    <w:abstractNumId w:val="2"/>
  </w:num>
  <w:num w:numId="5">
    <w:abstractNumId w:val="20"/>
  </w:num>
  <w:num w:numId="6">
    <w:abstractNumId w:val="13"/>
  </w:num>
  <w:num w:numId="7">
    <w:abstractNumId w:val="10"/>
  </w:num>
  <w:num w:numId="8">
    <w:abstractNumId w:val="22"/>
  </w:num>
  <w:num w:numId="9">
    <w:abstractNumId w:val="5"/>
  </w:num>
  <w:num w:numId="10">
    <w:abstractNumId w:val="21"/>
  </w:num>
  <w:num w:numId="11">
    <w:abstractNumId w:val="1"/>
  </w:num>
  <w:num w:numId="12">
    <w:abstractNumId w:val="33"/>
  </w:num>
  <w:num w:numId="13">
    <w:abstractNumId w:val="7"/>
  </w:num>
  <w:num w:numId="14">
    <w:abstractNumId w:val="27"/>
  </w:num>
  <w:num w:numId="15">
    <w:abstractNumId w:val="30"/>
  </w:num>
  <w:num w:numId="16">
    <w:abstractNumId w:val="16"/>
  </w:num>
  <w:num w:numId="17">
    <w:abstractNumId w:val="37"/>
  </w:num>
  <w:num w:numId="18">
    <w:abstractNumId w:val="19"/>
  </w:num>
  <w:num w:numId="19">
    <w:abstractNumId w:val="28"/>
  </w:num>
  <w:num w:numId="20">
    <w:abstractNumId w:val="11"/>
  </w:num>
  <w:num w:numId="21">
    <w:abstractNumId w:val="17"/>
  </w:num>
  <w:num w:numId="22">
    <w:abstractNumId w:val="14"/>
  </w:num>
  <w:num w:numId="23">
    <w:abstractNumId w:val="34"/>
  </w:num>
  <w:num w:numId="24">
    <w:abstractNumId w:val="32"/>
  </w:num>
  <w:num w:numId="25">
    <w:abstractNumId w:val="3"/>
  </w:num>
  <w:num w:numId="26">
    <w:abstractNumId w:val="23"/>
  </w:num>
  <w:num w:numId="27">
    <w:abstractNumId w:val="18"/>
  </w:num>
  <w:num w:numId="28">
    <w:abstractNumId w:val="21"/>
    <w:lvlOverride w:ilvl="0">
      <w:startOverride w:val="1"/>
    </w:lvlOverride>
  </w:num>
  <w:num w:numId="29">
    <w:abstractNumId w:val="25"/>
  </w:num>
  <w:num w:numId="30">
    <w:abstractNumId w:val="26"/>
  </w:num>
  <w:num w:numId="31">
    <w:abstractNumId w:val="6"/>
  </w:num>
  <w:num w:numId="32">
    <w:abstractNumId w:val="36"/>
  </w:num>
  <w:num w:numId="33">
    <w:abstractNumId w:val="31"/>
  </w:num>
  <w:num w:numId="34">
    <w:abstractNumId w:val="2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9"/>
  </w:num>
  <w:num w:numId="38">
    <w:abstractNumId w:val="0"/>
  </w:num>
  <w:num w:numId="39">
    <w:abstractNumId w:val="24"/>
  </w:num>
  <w:num w:numId="40">
    <w:abstractNumId w:val="12"/>
  </w:num>
  <w:num w:numId="41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438F"/>
    <w:rsid w:val="00014E00"/>
    <w:rsid w:val="00015CE9"/>
    <w:rsid w:val="00016888"/>
    <w:rsid w:val="0002031D"/>
    <w:rsid w:val="000206CC"/>
    <w:rsid w:val="00022668"/>
    <w:rsid w:val="00022DDD"/>
    <w:rsid w:val="000237F0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402C2"/>
    <w:rsid w:val="00040CDF"/>
    <w:rsid w:val="0004218E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7CE7"/>
    <w:rsid w:val="00050194"/>
    <w:rsid w:val="00050E06"/>
    <w:rsid w:val="000517AF"/>
    <w:rsid w:val="000526D9"/>
    <w:rsid w:val="0005344B"/>
    <w:rsid w:val="000543E5"/>
    <w:rsid w:val="00054742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211E"/>
    <w:rsid w:val="00093210"/>
    <w:rsid w:val="00093671"/>
    <w:rsid w:val="00093AF4"/>
    <w:rsid w:val="00093C10"/>
    <w:rsid w:val="00094F79"/>
    <w:rsid w:val="00095574"/>
    <w:rsid w:val="00095FA1"/>
    <w:rsid w:val="0009695B"/>
    <w:rsid w:val="000A05E4"/>
    <w:rsid w:val="000A0AB2"/>
    <w:rsid w:val="000A0C10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2049"/>
    <w:rsid w:val="000C20BB"/>
    <w:rsid w:val="000C4C1B"/>
    <w:rsid w:val="000C520A"/>
    <w:rsid w:val="000C6A94"/>
    <w:rsid w:val="000C6D65"/>
    <w:rsid w:val="000C7541"/>
    <w:rsid w:val="000D09B5"/>
    <w:rsid w:val="000D10D2"/>
    <w:rsid w:val="000D16E5"/>
    <w:rsid w:val="000D2347"/>
    <w:rsid w:val="000D3C13"/>
    <w:rsid w:val="000D3CAF"/>
    <w:rsid w:val="000D474E"/>
    <w:rsid w:val="000D481D"/>
    <w:rsid w:val="000D55C7"/>
    <w:rsid w:val="000D5E8D"/>
    <w:rsid w:val="000D7070"/>
    <w:rsid w:val="000E26F7"/>
    <w:rsid w:val="000E27FB"/>
    <w:rsid w:val="000E296B"/>
    <w:rsid w:val="000E3748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169"/>
    <w:rsid w:val="001016F8"/>
    <w:rsid w:val="0010279D"/>
    <w:rsid w:val="00102F19"/>
    <w:rsid w:val="00103C2E"/>
    <w:rsid w:val="00103CC1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F2A"/>
    <w:rsid w:val="001201C3"/>
    <w:rsid w:val="001221B5"/>
    <w:rsid w:val="00122E47"/>
    <w:rsid w:val="001232A9"/>
    <w:rsid w:val="001240FF"/>
    <w:rsid w:val="001242F4"/>
    <w:rsid w:val="00124AB3"/>
    <w:rsid w:val="00124EE2"/>
    <w:rsid w:val="001256D5"/>
    <w:rsid w:val="001260A0"/>
    <w:rsid w:val="00126D50"/>
    <w:rsid w:val="001300BD"/>
    <w:rsid w:val="00130614"/>
    <w:rsid w:val="0013125F"/>
    <w:rsid w:val="00131304"/>
    <w:rsid w:val="0013302D"/>
    <w:rsid w:val="00133B5A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66AD"/>
    <w:rsid w:val="0017719A"/>
    <w:rsid w:val="00177502"/>
    <w:rsid w:val="0017753E"/>
    <w:rsid w:val="00177B1E"/>
    <w:rsid w:val="00181B1D"/>
    <w:rsid w:val="001824A1"/>
    <w:rsid w:val="00182F8D"/>
    <w:rsid w:val="00185832"/>
    <w:rsid w:val="00187863"/>
    <w:rsid w:val="001909A3"/>
    <w:rsid w:val="001920CB"/>
    <w:rsid w:val="00193523"/>
    <w:rsid w:val="0019469A"/>
    <w:rsid w:val="001950BB"/>
    <w:rsid w:val="00196139"/>
    <w:rsid w:val="001968D2"/>
    <w:rsid w:val="0019726C"/>
    <w:rsid w:val="001A0683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38D9"/>
    <w:rsid w:val="001C55A0"/>
    <w:rsid w:val="001C62E2"/>
    <w:rsid w:val="001C6351"/>
    <w:rsid w:val="001C6D31"/>
    <w:rsid w:val="001C7421"/>
    <w:rsid w:val="001C7426"/>
    <w:rsid w:val="001C7C95"/>
    <w:rsid w:val="001D1501"/>
    <w:rsid w:val="001D2CD8"/>
    <w:rsid w:val="001D43A5"/>
    <w:rsid w:val="001D5A29"/>
    <w:rsid w:val="001D5BB0"/>
    <w:rsid w:val="001D5F18"/>
    <w:rsid w:val="001D62DE"/>
    <w:rsid w:val="001D6479"/>
    <w:rsid w:val="001E0076"/>
    <w:rsid w:val="001E11A2"/>
    <w:rsid w:val="001E1C78"/>
    <w:rsid w:val="001E29AB"/>
    <w:rsid w:val="001E2A9F"/>
    <w:rsid w:val="001E3AD4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60BD"/>
    <w:rsid w:val="00217C06"/>
    <w:rsid w:val="00217E6C"/>
    <w:rsid w:val="002211B6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6106"/>
    <w:rsid w:val="00246998"/>
    <w:rsid w:val="00247604"/>
    <w:rsid w:val="002500F5"/>
    <w:rsid w:val="00250861"/>
    <w:rsid w:val="00250A23"/>
    <w:rsid w:val="00252A6B"/>
    <w:rsid w:val="002544F4"/>
    <w:rsid w:val="00254A55"/>
    <w:rsid w:val="00255698"/>
    <w:rsid w:val="00255CF7"/>
    <w:rsid w:val="00257B66"/>
    <w:rsid w:val="002600BE"/>
    <w:rsid w:val="002625FD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73A6"/>
    <w:rsid w:val="00277B2B"/>
    <w:rsid w:val="0028065A"/>
    <w:rsid w:val="002812A1"/>
    <w:rsid w:val="002816FD"/>
    <w:rsid w:val="00281DE1"/>
    <w:rsid w:val="00282274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40BB"/>
    <w:rsid w:val="002D4A49"/>
    <w:rsid w:val="002D4B32"/>
    <w:rsid w:val="002D5E40"/>
    <w:rsid w:val="002D6786"/>
    <w:rsid w:val="002D738C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4AB6"/>
    <w:rsid w:val="003352D6"/>
    <w:rsid w:val="00336FB0"/>
    <w:rsid w:val="0033705B"/>
    <w:rsid w:val="00337B90"/>
    <w:rsid w:val="00337C7F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34A6"/>
    <w:rsid w:val="003537C6"/>
    <w:rsid w:val="00354469"/>
    <w:rsid w:val="00354B0D"/>
    <w:rsid w:val="00356647"/>
    <w:rsid w:val="003566F7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2A4"/>
    <w:rsid w:val="0038363D"/>
    <w:rsid w:val="0038412F"/>
    <w:rsid w:val="00384660"/>
    <w:rsid w:val="00384CF2"/>
    <w:rsid w:val="00384D17"/>
    <w:rsid w:val="00384FBB"/>
    <w:rsid w:val="00387275"/>
    <w:rsid w:val="003905A4"/>
    <w:rsid w:val="003905B5"/>
    <w:rsid w:val="003908A8"/>
    <w:rsid w:val="00390D3E"/>
    <w:rsid w:val="00394E75"/>
    <w:rsid w:val="00395781"/>
    <w:rsid w:val="00395F22"/>
    <w:rsid w:val="0039634D"/>
    <w:rsid w:val="003A06A6"/>
    <w:rsid w:val="003A06AD"/>
    <w:rsid w:val="003A0CC6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FCE"/>
    <w:rsid w:val="003C0934"/>
    <w:rsid w:val="003C0D6E"/>
    <w:rsid w:val="003C10E9"/>
    <w:rsid w:val="003C1DA8"/>
    <w:rsid w:val="003C3CD1"/>
    <w:rsid w:val="003C4B87"/>
    <w:rsid w:val="003C6850"/>
    <w:rsid w:val="003C71A6"/>
    <w:rsid w:val="003C71BB"/>
    <w:rsid w:val="003D1CD9"/>
    <w:rsid w:val="003D3111"/>
    <w:rsid w:val="003D3E9C"/>
    <w:rsid w:val="003D3F49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440E"/>
    <w:rsid w:val="003F4CF9"/>
    <w:rsid w:val="003F5C5C"/>
    <w:rsid w:val="003F60A5"/>
    <w:rsid w:val="003F60C0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2841"/>
    <w:rsid w:val="00413507"/>
    <w:rsid w:val="00413B22"/>
    <w:rsid w:val="00413D57"/>
    <w:rsid w:val="004149FF"/>
    <w:rsid w:val="00414D87"/>
    <w:rsid w:val="0041530E"/>
    <w:rsid w:val="00415C92"/>
    <w:rsid w:val="00420892"/>
    <w:rsid w:val="00421035"/>
    <w:rsid w:val="00422025"/>
    <w:rsid w:val="0042245E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4BE8"/>
    <w:rsid w:val="0043591E"/>
    <w:rsid w:val="0043690B"/>
    <w:rsid w:val="004369DB"/>
    <w:rsid w:val="00437302"/>
    <w:rsid w:val="004400CA"/>
    <w:rsid w:val="00441044"/>
    <w:rsid w:val="004420F9"/>
    <w:rsid w:val="00442A93"/>
    <w:rsid w:val="0044307C"/>
    <w:rsid w:val="004438E3"/>
    <w:rsid w:val="00443D58"/>
    <w:rsid w:val="00444DAE"/>
    <w:rsid w:val="0044598B"/>
    <w:rsid w:val="0044655B"/>
    <w:rsid w:val="0044697D"/>
    <w:rsid w:val="00447B60"/>
    <w:rsid w:val="004529B5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796D"/>
    <w:rsid w:val="0046181F"/>
    <w:rsid w:val="00462227"/>
    <w:rsid w:val="004662F1"/>
    <w:rsid w:val="00466F00"/>
    <w:rsid w:val="00467339"/>
    <w:rsid w:val="00467586"/>
    <w:rsid w:val="00470C53"/>
    <w:rsid w:val="00471092"/>
    <w:rsid w:val="004736FF"/>
    <w:rsid w:val="00473A4A"/>
    <w:rsid w:val="00475030"/>
    <w:rsid w:val="00475230"/>
    <w:rsid w:val="004764F3"/>
    <w:rsid w:val="00480B55"/>
    <w:rsid w:val="00481BA1"/>
    <w:rsid w:val="00482E1E"/>
    <w:rsid w:val="00483EC7"/>
    <w:rsid w:val="0048428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8EE"/>
    <w:rsid w:val="004B302E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3410"/>
    <w:rsid w:val="004C3FA6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2219E"/>
    <w:rsid w:val="00522555"/>
    <w:rsid w:val="00523250"/>
    <w:rsid w:val="0052349C"/>
    <w:rsid w:val="005234FE"/>
    <w:rsid w:val="0052383C"/>
    <w:rsid w:val="005244E4"/>
    <w:rsid w:val="00524894"/>
    <w:rsid w:val="0052740C"/>
    <w:rsid w:val="005315C3"/>
    <w:rsid w:val="005316F6"/>
    <w:rsid w:val="00532FD2"/>
    <w:rsid w:val="00533001"/>
    <w:rsid w:val="00533723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7D7"/>
    <w:rsid w:val="00567871"/>
    <w:rsid w:val="00567E29"/>
    <w:rsid w:val="0057054C"/>
    <w:rsid w:val="0057135A"/>
    <w:rsid w:val="00571446"/>
    <w:rsid w:val="00573D62"/>
    <w:rsid w:val="00574115"/>
    <w:rsid w:val="00575169"/>
    <w:rsid w:val="0057569F"/>
    <w:rsid w:val="00580C39"/>
    <w:rsid w:val="00581192"/>
    <w:rsid w:val="0058121E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78F"/>
    <w:rsid w:val="005C01CC"/>
    <w:rsid w:val="005C1FBE"/>
    <w:rsid w:val="005C2636"/>
    <w:rsid w:val="005C50B9"/>
    <w:rsid w:val="005C5D27"/>
    <w:rsid w:val="005C6567"/>
    <w:rsid w:val="005C6726"/>
    <w:rsid w:val="005C6ED1"/>
    <w:rsid w:val="005C77ED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60000C"/>
    <w:rsid w:val="00600DE8"/>
    <w:rsid w:val="00601A63"/>
    <w:rsid w:val="00601E7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6F5D"/>
    <w:rsid w:val="006378BF"/>
    <w:rsid w:val="00640269"/>
    <w:rsid w:val="00640BE4"/>
    <w:rsid w:val="00640D8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45EB"/>
    <w:rsid w:val="00654AB8"/>
    <w:rsid w:val="00654C01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5406"/>
    <w:rsid w:val="00685C85"/>
    <w:rsid w:val="00685D7B"/>
    <w:rsid w:val="0068661C"/>
    <w:rsid w:val="006866B4"/>
    <w:rsid w:val="006868DF"/>
    <w:rsid w:val="00686A5D"/>
    <w:rsid w:val="00686DCA"/>
    <w:rsid w:val="00687CFA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B0700"/>
    <w:rsid w:val="006B0939"/>
    <w:rsid w:val="006B0CA7"/>
    <w:rsid w:val="006B1964"/>
    <w:rsid w:val="006B1B33"/>
    <w:rsid w:val="006B30DF"/>
    <w:rsid w:val="006B4AB5"/>
    <w:rsid w:val="006B58D9"/>
    <w:rsid w:val="006B5ABF"/>
    <w:rsid w:val="006B5B2B"/>
    <w:rsid w:val="006B644F"/>
    <w:rsid w:val="006B68F1"/>
    <w:rsid w:val="006B7069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2453"/>
    <w:rsid w:val="006E275F"/>
    <w:rsid w:val="006E3954"/>
    <w:rsid w:val="006E4E42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59E4"/>
    <w:rsid w:val="006F6809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7399"/>
    <w:rsid w:val="007275CF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81228"/>
    <w:rsid w:val="00784ADB"/>
    <w:rsid w:val="00784B81"/>
    <w:rsid w:val="007861CA"/>
    <w:rsid w:val="00786A4A"/>
    <w:rsid w:val="0079051A"/>
    <w:rsid w:val="00792739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F44"/>
    <w:rsid w:val="007D365E"/>
    <w:rsid w:val="007D6B4F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890"/>
    <w:rsid w:val="007E417B"/>
    <w:rsid w:val="007E4475"/>
    <w:rsid w:val="007E49F3"/>
    <w:rsid w:val="007E4D19"/>
    <w:rsid w:val="007E549C"/>
    <w:rsid w:val="007E7D66"/>
    <w:rsid w:val="007F0306"/>
    <w:rsid w:val="007F0A26"/>
    <w:rsid w:val="007F2337"/>
    <w:rsid w:val="007F34DA"/>
    <w:rsid w:val="007F4750"/>
    <w:rsid w:val="007F52FB"/>
    <w:rsid w:val="007F5FF7"/>
    <w:rsid w:val="007F71CD"/>
    <w:rsid w:val="007F7D36"/>
    <w:rsid w:val="00800789"/>
    <w:rsid w:val="00800E01"/>
    <w:rsid w:val="008016DA"/>
    <w:rsid w:val="008022F6"/>
    <w:rsid w:val="0080268B"/>
    <w:rsid w:val="00802E92"/>
    <w:rsid w:val="00804C6F"/>
    <w:rsid w:val="00804D03"/>
    <w:rsid w:val="00804D12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9BB"/>
    <w:rsid w:val="00826CEF"/>
    <w:rsid w:val="0082706A"/>
    <w:rsid w:val="008303A3"/>
    <w:rsid w:val="0083064A"/>
    <w:rsid w:val="00830D47"/>
    <w:rsid w:val="00831ABB"/>
    <w:rsid w:val="00832507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85A"/>
    <w:rsid w:val="00840D53"/>
    <w:rsid w:val="0084270C"/>
    <w:rsid w:val="00843ADC"/>
    <w:rsid w:val="00844049"/>
    <w:rsid w:val="008452AC"/>
    <w:rsid w:val="0084545F"/>
    <w:rsid w:val="008460C2"/>
    <w:rsid w:val="008461E7"/>
    <w:rsid w:val="008463C2"/>
    <w:rsid w:val="00847CFE"/>
    <w:rsid w:val="00850A22"/>
    <w:rsid w:val="00850C79"/>
    <w:rsid w:val="0085120A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6E3"/>
    <w:rsid w:val="008867D7"/>
    <w:rsid w:val="0089075A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B045A"/>
    <w:rsid w:val="008B4E67"/>
    <w:rsid w:val="008B5EAF"/>
    <w:rsid w:val="008B65FA"/>
    <w:rsid w:val="008B7706"/>
    <w:rsid w:val="008C07DD"/>
    <w:rsid w:val="008C095B"/>
    <w:rsid w:val="008C0DD3"/>
    <w:rsid w:val="008C1B38"/>
    <w:rsid w:val="008C1DA7"/>
    <w:rsid w:val="008C2155"/>
    <w:rsid w:val="008C2779"/>
    <w:rsid w:val="008C3417"/>
    <w:rsid w:val="008C396C"/>
    <w:rsid w:val="008C5301"/>
    <w:rsid w:val="008C5EBE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7366"/>
    <w:rsid w:val="008E7E80"/>
    <w:rsid w:val="008F1FCD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9BD"/>
    <w:rsid w:val="009E2A6E"/>
    <w:rsid w:val="009E56AC"/>
    <w:rsid w:val="009E63A7"/>
    <w:rsid w:val="009E6864"/>
    <w:rsid w:val="009F154A"/>
    <w:rsid w:val="009F27E3"/>
    <w:rsid w:val="009F286A"/>
    <w:rsid w:val="009F310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74CD"/>
    <w:rsid w:val="00A1009D"/>
    <w:rsid w:val="00A10E6B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73FB"/>
    <w:rsid w:val="00A206D0"/>
    <w:rsid w:val="00A20BF4"/>
    <w:rsid w:val="00A219CD"/>
    <w:rsid w:val="00A21CC1"/>
    <w:rsid w:val="00A24E61"/>
    <w:rsid w:val="00A24F7D"/>
    <w:rsid w:val="00A25F65"/>
    <w:rsid w:val="00A27399"/>
    <w:rsid w:val="00A27808"/>
    <w:rsid w:val="00A309EF"/>
    <w:rsid w:val="00A31630"/>
    <w:rsid w:val="00A3199F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28BB"/>
    <w:rsid w:val="00A42B89"/>
    <w:rsid w:val="00A46A53"/>
    <w:rsid w:val="00A46E26"/>
    <w:rsid w:val="00A47586"/>
    <w:rsid w:val="00A47A22"/>
    <w:rsid w:val="00A51700"/>
    <w:rsid w:val="00A51EE1"/>
    <w:rsid w:val="00A535F5"/>
    <w:rsid w:val="00A5453C"/>
    <w:rsid w:val="00A54AD0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478B"/>
    <w:rsid w:val="00A74C61"/>
    <w:rsid w:val="00A75AB9"/>
    <w:rsid w:val="00A76179"/>
    <w:rsid w:val="00A76A13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A9C"/>
    <w:rsid w:val="00A946AF"/>
    <w:rsid w:val="00A94C5A"/>
    <w:rsid w:val="00A954E9"/>
    <w:rsid w:val="00A9592F"/>
    <w:rsid w:val="00A9686B"/>
    <w:rsid w:val="00AA0201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CA9"/>
    <w:rsid w:val="00AC714A"/>
    <w:rsid w:val="00AC7433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751F"/>
    <w:rsid w:val="00B0059F"/>
    <w:rsid w:val="00B00F4A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E76"/>
    <w:rsid w:val="00B47F45"/>
    <w:rsid w:val="00B50BCC"/>
    <w:rsid w:val="00B50F1B"/>
    <w:rsid w:val="00B510DC"/>
    <w:rsid w:val="00B5255B"/>
    <w:rsid w:val="00B52E37"/>
    <w:rsid w:val="00B55B60"/>
    <w:rsid w:val="00B55D30"/>
    <w:rsid w:val="00B56D3A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372E"/>
    <w:rsid w:val="00B840C5"/>
    <w:rsid w:val="00B85A17"/>
    <w:rsid w:val="00B85CAA"/>
    <w:rsid w:val="00B870BD"/>
    <w:rsid w:val="00B908A8"/>
    <w:rsid w:val="00B90FD9"/>
    <w:rsid w:val="00B927C8"/>
    <w:rsid w:val="00B9290C"/>
    <w:rsid w:val="00B930E8"/>
    <w:rsid w:val="00B93AC0"/>
    <w:rsid w:val="00B94292"/>
    <w:rsid w:val="00B94637"/>
    <w:rsid w:val="00B94C9D"/>
    <w:rsid w:val="00B95638"/>
    <w:rsid w:val="00B95D34"/>
    <w:rsid w:val="00B95F09"/>
    <w:rsid w:val="00BA00A9"/>
    <w:rsid w:val="00BA0A43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5731"/>
    <w:rsid w:val="00BB58A6"/>
    <w:rsid w:val="00BB658B"/>
    <w:rsid w:val="00BB7445"/>
    <w:rsid w:val="00BC3516"/>
    <w:rsid w:val="00BC3523"/>
    <w:rsid w:val="00BC5544"/>
    <w:rsid w:val="00BC5E0D"/>
    <w:rsid w:val="00BC612A"/>
    <w:rsid w:val="00BC6567"/>
    <w:rsid w:val="00BC7E0D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B33"/>
    <w:rsid w:val="00C036BC"/>
    <w:rsid w:val="00C03731"/>
    <w:rsid w:val="00C03E0B"/>
    <w:rsid w:val="00C05DBB"/>
    <w:rsid w:val="00C05E86"/>
    <w:rsid w:val="00C0630A"/>
    <w:rsid w:val="00C06E3A"/>
    <w:rsid w:val="00C07AA3"/>
    <w:rsid w:val="00C10067"/>
    <w:rsid w:val="00C129C6"/>
    <w:rsid w:val="00C133F9"/>
    <w:rsid w:val="00C13B5E"/>
    <w:rsid w:val="00C144F0"/>
    <w:rsid w:val="00C14FA2"/>
    <w:rsid w:val="00C16267"/>
    <w:rsid w:val="00C1639A"/>
    <w:rsid w:val="00C1649F"/>
    <w:rsid w:val="00C17B7F"/>
    <w:rsid w:val="00C20101"/>
    <w:rsid w:val="00C20898"/>
    <w:rsid w:val="00C2100A"/>
    <w:rsid w:val="00C215BD"/>
    <w:rsid w:val="00C2180B"/>
    <w:rsid w:val="00C21FC7"/>
    <w:rsid w:val="00C23B34"/>
    <w:rsid w:val="00C24952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6476"/>
    <w:rsid w:val="00C36D24"/>
    <w:rsid w:val="00C37A1B"/>
    <w:rsid w:val="00C40787"/>
    <w:rsid w:val="00C40EB1"/>
    <w:rsid w:val="00C41014"/>
    <w:rsid w:val="00C411CE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36BD"/>
    <w:rsid w:val="00C74517"/>
    <w:rsid w:val="00C762D9"/>
    <w:rsid w:val="00C763C4"/>
    <w:rsid w:val="00C76454"/>
    <w:rsid w:val="00C76C9F"/>
    <w:rsid w:val="00C81023"/>
    <w:rsid w:val="00C81336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B84"/>
    <w:rsid w:val="00CA243A"/>
    <w:rsid w:val="00CA2934"/>
    <w:rsid w:val="00CA3D19"/>
    <w:rsid w:val="00CA5028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49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6DF"/>
    <w:rsid w:val="00CF1BCB"/>
    <w:rsid w:val="00CF1FDD"/>
    <w:rsid w:val="00CF307F"/>
    <w:rsid w:val="00CF31A4"/>
    <w:rsid w:val="00CF38F7"/>
    <w:rsid w:val="00CF4F27"/>
    <w:rsid w:val="00CF50BE"/>
    <w:rsid w:val="00CF6F99"/>
    <w:rsid w:val="00CF770B"/>
    <w:rsid w:val="00CF7D09"/>
    <w:rsid w:val="00D001C6"/>
    <w:rsid w:val="00D00FD4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F17"/>
    <w:rsid w:val="00D11A2D"/>
    <w:rsid w:val="00D11ADF"/>
    <w:rsid w:val="00D12042"/>
    <w:rsid w:val="00D14C22"/>
    <w:rsid w:val="00D15E7C"/>
    <w:rsid w:val="00D16EC3"/>
    <w:rsid w:val="00D2036A"/>
    <w:rsid w:val="00D2131D"/>
    <w:rsid w:val="00D214D4"/>
    <w:rsid w:val="00D2274A"/>
    <w:rsid w:val="00D23B63"/>
    <w:rsid w:val="00D23B99"/>
    <w:rsid w:val="00D23F2B"/>
    <w:rsid w:val="00D23FB5"/>
    <w:rsid w:val="00D258FE"/>
    <w:rsid w:val="00D2643F"/>
    <w:rsid w:val="00D264C8"/>
    <w:rsid w:val="00D26B71"/>
    <w:rsid w:val="00D26BB1"/>
    <w:rsid w:val="00D2799A"/>
    <w:rsid w:val="00D27AF7"/>
    <w:rsid w:val="00D27B18"/>
    <w:rsid w:val="00D30512"/>
    <w:rsid w:val="00D31176"/>
    <w:rsid w:val="00D3136C"/>
    <w:rsid w:val="00D32D11"/>
    <w:rsid w:val="00D33365"/>
    <w:rsid w:val="00D3377E"/>
    <w:rsid w:val="00D33EDE"/>
    <w:rsid w:val="00D34A4A"/>
    <w:rsid w:val="00D35BB8"/>
    <w:rsid w:val="00D36A1A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647E"/>
    <w:rsid w:val="00D56703"/>
    <w:rsid w:val="00D57158"/>
    <w:rsid w:val="00D571A1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1153"/>
    <w:rsid w:val="00D71EA0"/>
    <w:rsid w:val="00D74A27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32D8"/>
    <w:rsid w:val="00DA3312"/>
    <w:rsid w:val="00DA336D"/>
    <w:rsid w:val="00DA4BF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851"/>
    <w:rsid w:val="00DC317C"/>
    <w:rsid w:val="00DC3EEB"/>
    <w:rsid w:val="00DC670C"/>
    <w:rsid w:val="00DC7C98"/>
    <w:rsid w:val="00DD2715"/>
    <w:rsid w:val="00DD3004"/>
    <w:rsid w:val="00DD3097"/>
    <w:rsid w:val="00DD3CAD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6E93"/>
    <w:rsid w:val="00DE7C9F"/>
    <w:rsid w:val="00DF0D73"/>
    <w:rsid w:val="00DF1069"/>
    <w:rsid w:val="00DF121F"/>
    <w:rsid w:val="00DF144F"/>
    <w:rsid w:val="00DF170D"/>
    <w:rsid w:val="00DF1B9B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3711"/>
    <w:rsid w:val="00E13F05"/>
    <w:rsid w:val="00E14743"/>
    <w:rsid w:val="00E171E3"/>
    <w:rsid w:val="00E177CD"/>
    <w:rsid w:val="00E177E2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6C62"/>
    <w:rsid w:val="00E271C8"/>
    <w:rsid w:val="00E31211"/>
    <w:rsid w:val="00E31496"/>
    <w:rsid w:val="00E31CB7"/>
    <w:rsid w:val="00E323F2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3C45"/>
    <w:rsid w:val="00E43E08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A1A"/>
    <w:rsid w:val="00E71B3C"/>
    <w:rsid w:val="00E73767"/>
    <w:rsid w:val="00E73E85"/>
    <w:rsid w:val="00E74A7C"/>
    <w:rsid w:val="00E76095"/>
    <w:rsid w:val="00E8019B"/>
    <w:rsid w:val="00E80F7D"/>
    <w:rsid w:val="00E81B09"/>
    <w:rsid w:val="00E827BC"/>
    <w:rsid w:val="00E828EE"/>
    <w:rsid w:val="00E840D9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4284"/>
    <w:rsid w:val="00E9449A"/>
    <w:rsid w:val="00E95B82"/>
    <w:rsid w:val="00E960C6"/>
    <w:rsid w:val="00E96D3A"/>
    <w:rsid w:val="00E978A5"/>
    <w:rsid w:val="00EA0306"/>
    <w:rsid w:val="00EA05A8"/>
    <w:rsid w:val="00EA0C81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BC3"/>
    <w:rsid w:val="00EF2017"/>
    <w:rsid w:val="00EF219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42A5"/>
    <w:rsid w:val="00F04458"/>
    <w:rsid w:val="00F05EC1"/>
    <w:rsid w:val="00F07432"/>
    <w:rsid w:val="00F07E9A"/>
    <w:rsid w:val="00F102E6"/>
    <w:rsid w:val="00F103BF"/>
    <w:rsid w:val="00F10B2B"/>
    <w:rsid w:val="00F10C82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F02"/>
    <w:rsid w:val="00F44F24"/>
    <w:rsid w:val="00F45B68"/>
    <w:rsid w:val="00F47BA9"/>
    <w:rsid w:val="00F506DF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C88"/>
    <w:rsid w:val="00F7375F"/>
    <w:rsid w:val="00F73DB7"/>
    <w:rsid w:val="00F758E4"/>
    <w:rsid w:val="00F75A15"/>
    <w:rsid w:val="00F75AF5"/>
    <w:rsid w:val="00F76063"/>
    <w:rsid w:val="00F7770F"/>
    <w:rsid w:val="00F81DE3"/>
    <w:rsid w:val="00F834E8"/>
    <w:rsid w:val="00F8357F"/>
    <w:rsid w:val="00F85EB1"/>
    <w:rsid w:val="00F86D07"/>
    <w:rsid w:val="00F87A20"/>
    <w:rsid w:val="00F87B90"/>
    <w:rsid w:val="00F87D90"/>
    <w:rsid w:val="00F910FB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7657"/>
    <w:rsid w:val="00FB7923"/>
    <w:rsid w:val="00FC01F1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FF5"/>
    <w:rsid w:val="00FF5333"/>
    <w:rsid w:val="00FF5A5B"/>
    <w:rsid w:val="00FF6229"/>
    <w:rsid w:val="00FF7568"/>
    <w:rsid w:val="00FF7E3B"/>
    <w:rsid w:val="0A0B9CB7"/>
    <w:rsid w:val="213E07A1"/>
    <w:rsid w:val="62D90BEA"/>
    <w:rsid w:val="7276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3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2.png@01D81782.0739425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0BFA7C-04EE-4214-B394-81989EA3D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223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89</cp:revision>
  <cp:lastPrinted>2021-10-12T01:12:00Z</cp:lastPrinted>
  <dcterms:created xsi:type="dcterms:W3CDTF">2022-02-08T11:17:00Z</dcterms:created>
  <dcterms:modified xsi:type="dcterms:W3CDTF">2022-08-10T12:59:00Z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